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Bollnäs kommunfullmäktige</w:t>
      </w:r>
    </w:p>
    <w:p>
      <w:pPr>
        <w:pStyle w:val="Heading1"/>
      </w:pPr>
      <w:r>
        <w:t xml:space="preserve">Förenkla tillstånd och sänk avgifter för lokala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Bollnäs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Bollnäs rankas 180 av 290 kommuner i Svenskt Näringslivs företagsklimat 2024. Långa handläggningstider och höga avgifter försvårar etablering och expansion av småföretag inom skog, besöksnäring och handel.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Bollnäs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Bollnäs kommunfullmäktige beslutar att införa tidsgaranti på maximalt 6 veckor för bygglov och miljöprövningar för företag under 10 anställda.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kommunala avgifter för bygglov och tillsyn sänks med 20 % för nystartade företag under tre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digital e-tjänst för förenklad ansökan införs senast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näringslivsrådet får utökat mandat att föreslå regelförenklingar årligen.</w:t>
      </w:r>
    </w:p>
    <w:p>
      <w:pPr>
        <w:spacing w:before="360"/>
      </w:pPr>
    </w:p>
    <w:p>
      <w:r>
        <w:t xml:space="preserve">Bollnäs,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Bollnäs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2026-07-13T23:41:18.283Z</dcterms:created>
  <dcterms:modified xsi:type="dcterms:W3CDTF">2026-07-13T23:41:18.283Z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